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DD68" w14:textId="77777777" w:rsidR="004B663A" w:rsidRPr="004B663A" w:rsidRDefault="004B663A" w:rsidP="004B663A">
      <w:pPr>
        <w:spacing w:line="256" w:lineRule="auto"/>
        <w:rPr>
          <w:rFonts w:ascii="Times New Roman" w:hAnsi="Times New Roman" w:cs="Times New Roman"/>
          <w:sz w:val="40"/>
          <w:szCs w:val="40"/>
          <w:lang w:val="kk-KZ"/>
        </w:rPr>
      </w:pPr>
      <w:r w:rsidRPr="004B663A">
        <w:rPr>
          <w:rFonts w:ascii="Times New Roman" w:hAnsi="Times New Roman" w:cs="Times New Roman"/>
          <w:sz w:val="40"/>
          <w:szCs w:val="40"/>
          <w:highlight w:val="green"/>
          <w:lang w:val="kk-KZ"/>
        </w:rPr>
        <w:t>8 Дәріс</w:t>
      </w:r>
      <w:r w:rsidRPr="004B663A">
        <w:rPr>
          <w:rFonts w:ascii="Times New Roman" w:hAnsi="Times New Roman" w:cs="Times New Roman"/>
          <w:color w:val="000000" w:themeColor="text1"/>
          <w:sz w:val="40"/>
          <w:szCs w:val="40"/>
          <w:lang w:val="kk-KZ"/>
        </w:rPr>
        <w:t xml:space="preserve"> - </w:t>
      </w:r>
      <w:bookmarkStart w:id="0" w:name="_Hlk155432385"/>
      <w:r w:rsidRPr="004B663A">
        <w:rPr>
          <w:rFonts w:ascii="Times New Roman" w:hAnsi="Times New Roman" w:cs="Times New Roman"/>
          <w:color w:val="FF0000"/>
          <w:sz w:val="40"/>
          <w:szCs w:val="40"/>
          <w:lang w:val="kk-KZ"/>
        </w:rPr>
        <w:t>М</w:t>
      </w:r>
      <w:r w:rsidRPr="004B663A">
        <w:rPr>
          <w:rFonts w:ascii="Times New Roman" w:eastAsiaTheme="minorEastAsia" w:hAnsi="Times New Roman" w:cs="Times New Roman"/>
          <w:color w:val="FF0000"/>
          <w:sz w:val="40"/>
          <w:szCs w:val="40"/>
          <w:lang w:val="kk-KZ" w:eastAsia="ru-RU"/>
        </w:rPr>
        <w:t>емлекеттік шешімдер тиімділігін бағалау</w:t>
      </w:r>
    </w:p>
    <w:bookmarkEnd w:id="0"/>
    <w:p w14:paraId="70EBB4DF" w14:textId="77777777" w:rsidR="004B663A" w:rsidRPr="004B663A" w:rsidRDefault="004B663A" w:rsidP="004B663A">
      <w:pPr>
        <w:spacing w:line="256" w:lineRule="auto"/>
        <w:rPr>
          <w:rFonts w:ascii="Times New Roman" w:hAnsi="Times New Roman" w:cs="Times New Roman"/>
          <w:color w:val="0070C0"/>
          <w:sz w:val="40"/>
          <w:szCs w:val="40"/>
          <w:lang w:val="kk-KZ"/>
        </w:rPr>
      </w:pPr>
      <w:r w:rsidRPr="004B663A">
        <w:rPr>
          <w:rFonts w:ascii="Times New Roman" w:hAnsi="Times New Roman" w:cs="Times New Roman"/>
          <w:color w:val="0070C0"/>
          <w:sz w:val="40"/>
          <w:szCs w:val="40"/>
          <w:lang w:val="kk-KZ"/>
        </w:rPr>
        <w:t>Сұрақтар:</w:t>
      </w:r>
      <w:r w:rsidRPr="004B663A">
        <w:rPr>
          <w:rFonts w:ascii="Times New Roman" w:hAnsi="Times New Roman" w:cs="Times New Roman"/>
          <w:sz w:val="20"/>
          <w:szCs w:val="20"/>
          <w:lang w:val="kk-KZ"/>
        </w:rPr>
        <w:t xml:space="preserve"> </w:t>
      </w:r>
    </w:p>
    <w:p w14:paraId="1D86C3E7" w14:textId="77777777" w:rsidR="004B663A" w:rsidRPr="004B663A" w:rsidRDefault="004B663A" w:rsidP="004B663A">
      <w:pPr>
        <w:spacing w:line="256" w:lineRule="auto"/>
        <w:rPr>
          <w:rFonts w:ascii="Times New Roman" w:hAnsi="Times New Roman" w:cs="Times New Roman"/>
          <w:color w:val="FF0000"/>
          <w:sz w:val="40"/>
          <w:szCs w:val="40"/>
          <w:lang w:val="kk-KZ"/>
        </w:rPr>
      </w:pPr>
      <w:r w:rsidRPr="004B663A">
        <w:rPr>
          <w:rFonts w:ascii="Times New Roman" w:hAnsi="Times New Roman" w:cs="Times New Roman"/>
          <w:color w:val="FF0000"/>
          <w:sz w:val="40"/>
          <w:szCs w:val="40"/>
          <w:lang w:val="kk-KZ"/>
        </w:rPr>
        <w:t>1. М</w:t>
      </w:r>
      <w:r w:rsidRPr="004B663A">
        <w:rPr>
          <w:rFonts w:ascii="Times New Roman" w:eastAsiaTheme="minorEastAsia" w:hAnsi="Times New Roman" w:cs="Times New Roman"/>
          <w:color w:val="FF0000"/>
          <w:sz w:val="40"/>
          <w:szCs w:val="40"/>
          <w:lang w:val="kk-KZ" w:eastAsia="ru-RU"/>
        </w:rPr>
        <w:t>емлекеттік шешімдер тиімділігі</w:t>
      </w:r>
    </w:p>
    <w:p w14:paraId="5616362E" w14:textId="77777777" w:rsidR="004B663A" w:rsidRPr="004B663A" w:rsidRDefault="004B663A" w:rsidP="004B663A">
      <w:pPr>
        <w:spacing w:line="256" w:lineRule="auto"/>
        <w:rPr>
          <w:rFonts w:ascii="Times New Roman" w:hAnsi="Times New Roman" w:cs="Times New Roman"/>
          <w:color w:val="FF0000"/>
          <w:sz w:val="40"/>
          <w:szCs w:val="40"/>
          <w:lang w:val="kk-KZ"/>
        </w:rPr>
      </w:pPr>
      <w:r w:rsidRPr="004B663A">
        <w:rPr>
          <w:rFonts w:ascii="Times New Roman" w:hAnsi="Times New Roman" w:cs="Times New Roman"/>
          <w:color w:val="FF0000"/>
          <w:sz w:val="40"/>
          <w:szCs w:val="40"/>
          <w:lang w:val="kk-KZ"/>
        </w:rPr>
        <w:t>2. М</w:t>
      </w:r>
      <w:r w:rsidRPr="004B663A">
        <w:rPr>
          <w:rFonts w:ascii="Times New Roman" w:eastAsiaTheme="minorEastAsia" w:hAnsi="Times New Roman" w:cs="Times New Roman"/>
          <w:color w:val="FF0000"/>
          <w:sz w:val="40"/>
          <w:szCs w:val="40"/>
          <w:lang w:val="kk-KZ" w:eastAsia="ru-RU"/>
        </w:rPr>
        <w:t>емлекеттік шешімдер тиімділігін бағалау</w:t>
      </w:r>
    </w:p>
    <w:p w14:paraId="2D296492" w14:textId="77777777" w:rsidR="004B663A" w:rsidRPr="004B663A" w:rsidRDefault="004B663A" w:rsidP="004B663A">
      <w:pPr>
        <w:spacing w:line="256" w:lineRule="auto"/>
        <w:rPr>
          <w:rFonts w:ascii="Times New Roman" w:hAnsi="Times New Roman" w:cs="Times New Roman"/>
          <w:sz w:val="28"/>
          <w:szCs w:val="28"/>
          <w:lang w:val="kk-KZ"/>
        </w:rPr>
      </w:pPr>
      <w:r w:rsidRPr="004B663A">
        <w:rPr>
          <w:rFonts w:ascii="Times New Roman" w:hAnsi="Times New Roman" w:cs="Times New Roman"/>
          <w:sz w:val="28"/>
          <w:szCs w:val="28"/>
          <w:highlight w:val="green"/>
          <w:lang w:val="kk-KZ"/>
        </w:rPr>
        <w:t>Дәріс мақсаты</w:t>
      </w:r>
      <w:r w:rsidRPr="004B663A">
        <w:rPr>
          <w:rFonts w:ascii="Times New Roman" w:hAnsi="Times New Roman" w:cs="Times New Roman"/>
          <w:sz w:val="28"/>
          <w:szCs w:val="28"/>
          <w:lang w:val="kk-KZ"/>
        </w:rPr>
        <w:t>-</w:t>
      </w:r>
      <w:r w:rsidRPr="004B663A">
        <w:rPr>
          <w:rFonts w:ascii="Times New Roman" w:hAnsi="Times New Roman" w:cs="Times New Roman"/>
          <w:color w:val="0070C0"/>
          <w:sz w:val="28"/>
          <w:szCs w:val="28"/>
          <w:lang w:val="kk-KZ"/>
        </w:rPr>
        <w:t>студенттерге м</w:t>
      </w:r>
      <w:r w:rsidRPr="004B663A">
        <w:rPr>
          <w:rFonts w:ascii="Times New Roman" w:eastAsiaTheme="minorEastAsia" w:hAnsi="Times New Roman" w:cs="Times New Roman"/>
          <w:color w:val="0070C0"/>
          <w:sz w:val="28"/>
          <w:szCs w:val="28"/>
          <w:lang w:val="kk-KZ" w:eastAsia="ru-RU"/>
        </w:rPr>
        <w:t>емлекеттік шешімдер тиімділігін бағалау жүйелі түсіндіру</w:t>
      </w:r>
    </w:p>
    <w:p w14:paraId="2803F10F" w14:textId="77777777" w:rsidR="004B663A" w:rsidRPr="004B663A" w:rsidRDefault="004B663A" w:rsidP="004B663A">
      <w:pPr>
        <w:spacing w:line="256" w:lineRule="auto"/>
        <w:rPr>
          <w:lang w:val="kk-KZ"/>
        </w:rPr>
      </w:pPr>
    </w:p>
    <w:p w14:paraId="3A4392E2" w14:textId="77777777" w:rsidR="004B663A" w:rsidRPr="004B663A" w:rsidRDefault="004B663A" w:rsidP="004B663A">
      <w:pPr>
        <w:spacing w:line="256" w:lineRule="auto"/>
        <w:rPr>
          <w:lang w:val="kk-KZ"/>
        </w:rPr>
      </w:pPr>
    </w:p>
    <w:p w14:paraId="4D66B80D" w14:textId="77777777" w:rsidR="004B663A" w:rsidRPr="004B663A" w:rsidRDefault="004B663A" w:rsidP="004B663A">
      <w:pPr>
        <w:spacing w:line="256" w:lineRule="auto"/>
        <w:rPr>
          <w:rFonts w:ascii="Times New Roman" w:hAnsi="Times New Roman" w:cs="Times New Roman"/>
          <w:sz w:val="24"/>
          <w:szCs w:val="24"/>
          <w:lang w:val="kk-KZ"/>
        </w:rPr>
      </w:pPr>
      <w:bookmarkStart w:id="1" w:name="_Hlk155548135"/>
      <w:r w:rsidRPr="004B663A">
        <w:rPr>
          <w:rFonts w:ascii="Times New Roman" w:hAnsi="Times New Roman" w:cs="Times New Roman"/>
          <w:sz w:val="24"/>
          <w:szCs w:val="24"/>
          <w:highlight w:val="green"/>
          <w:lang w:val="kk-KZ"/>
        </w:rPr>
        <w:t>МЕМЛЕКЕТТІК ШЕШІМДЕРДІҢ ТИІМДІЛІГІН БАҒАЛАУ</w:t>
      </w:r>
    </w:p>
    <w:p w14:paraId="78AF9D4A"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Тиімділік және нәтижелік көрсеткіштер жүйесі органдарға келесі топтар кіруі керек.</w:t>
      </w:r>
    </w:p>
    <w:p w14:paraId="04322688"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Осыған тікелей қатысты  нәтиже көрсеткіштері</w:t>
      </w:r>
    </w:p>
    <w:p w14:paraId="12FCF29F"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Мемлекеттік органдар мен құрылымдық бөлімшелердің қызметі туралы есептер қазірдің өзінде белгілі бір нәтижелердің тізбесін қамтиды. Әкімшілік қызмет нәтижелерінің мазмұны құзыреттілік мәселелерімен де, олар орындайтын функциялардың сипатымен де анықталады. Бұл жағдайда ол үшін тікелей нәтиженің көрсеткіші кең мағынадағы қызметтердің саны, құқықтық актілер мен бағдарламалар түріндегі басқару шешімдері болады. Шұғыл нәтиженің көрсеткіші стандартталған қызметтердің саны, берілген стандарттардан ауытқу және стандартталған қызметтерді алушылардың саны болуы мүмкін.</w:t>
      </w:r>
    </w:p>
    <w:p w14:paraId="0CF46E9E" w14:textId="77777777" w:rsidR="004B663A" w:rsidRPr="004B663A" w:rsidRDefault="004B663A" w:rsidP="004B663A">
      <w:pPr>
        <w:spacing w:line="256" w:lineRule="auto"/>
        <w:rPr>
          <w:rFonts w:ascii="Times New Roman" w:hAnsi="Times New Roman" w:cs="Times New Roman"/>
          <w:sz w:val="24"/>
          <w:szCs w:val="24"/>
          <w:lang w:val="kk-KZ"/>
        </w:rPr>
      </w:pPr>
    </w:p>
    <w:p w14:paraId="1844675C"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Қорытынды әсер көрсеткіштері. Әсер ету көрсеткіштері басқару объектісінің өзгеруін сипаттайды, қызметтің мақсатты топқа әсер ету сипаты атқарушы орган қызметінің түпкілікті әсерін көрсетуге мүмкіндік береді. Уәкiлеттi орган үшiн соңғы нәтиже бақылау объектiсiнiң, нысаналы топтардың күйiнiң, жұмыс iстеуiнiң өзгерiсi (немесе өзгермеуi) болып табылады және, әдетте, уәкiлеттi органның мақсаттарына қол жеткiзумен байланысты. Түпкілікті әлеуметтік нәтижеге қол жеткізуді көрсетуі мүмкін көрсеткіштер тұтынушылардың көрсетілетін қызметтен немесе атқарушы органның қызметінен қанағаттануының көрсеткіштері болып табылады.</w:t>
      </w:r>
    </w:p>
    <w:p w14:paraId="133E0499"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Тікелей процестердің көрсеткіштері қызмет ету сипатымен, әкімшілік процестермен және оларға қойылатын талаптармен байланысты. Көрсеткішті стандарттарға немесе жұмысқа қойылатын талаптарға сәйкес келетін операциялардың немесе процедуралардың үлесі ретінде тұжырымдауға болады. Шындығында, бұл көрсеткіштерді нәтиже көрсеткіштеріне толық жатқызуға болмайды, бірақ олар бір-бірімен тығыз байланысты, әкімшілік процестердің сапасы белгілі бір дәрежеде ғана.</w:t>
      </w:r>
    </w:p>
    <w:p w14:paraId="4D4322B2"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нәтижеге қол жеткізуді анықтайды. Тікелей көрсеткіштер ретінде</w:t>
      </w:r>
    </w:p>
    <w:p w14:paraId="2396DA96"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процестерді бөліп көрсетуге болады, мысалы, дайындалған құжаттардың үлесі,</w:t>
      </w:r>
    </w:p>
    <w:p w14:paraId="6D4C70C0"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белгіленген мерзімде және бұзушылықсыз аяқталса, нормативтік құжаттарға сәйкес жүргізілген операциялардың үлесі.</w:t>
      </w:r>
    </w:p>
    <w:p w14:paraId="288E61CC" w14:textId="77777777" w:rsidR="004B663A" w:rsidRPr="004B663A" w:rsidRDefault="004B663A" w:rsidP="004B663A">
      <w:pPr>
        <w:spacing w:line="256" w:lineRule="auto"/>
        <w:rPr>
          <w:rFonts w:ascii="Times New Roman" w:hAnsi="Times New Roman" w:cs="Times New Roman"/>
          <w:sz w:val="24"/>
          <w:szCs w:val="24"/>
          <w:lang w:val="kk-KZ"/>
        </w:rPr>
      </w:pPr>
    </w:p>
    <w:p w14:paraId="794AA63F"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 xml:space="preserve"> </w:t>
      </w:r>
    </w:p>
    <w:p w14:paraId="3FD8C89B"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Көрсеткіштер келесі талаптарға сай болуы керек:</w:t>
      </w:r>
    </w:p>
    <w:p w14:paraId="7A94B6C0"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1) өзектілік – көрсеткіштер мемлекеттік органның тұжырымдалған мақсаттары мен міндеттеріне тікелей қатысты болуы керек;</w:t>
      </w:r>
    </w:p>
    <w:p w14:paraId="3633D8CA"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2) айқындылық пен бірмәнділік, түсіну мен пайдаланудың қарапайымдылығы – деректерді жинау және салыстыру мүмкіндігін қамтамасыз ету үшін көрсеткіш нақты анықталуы керек. Көрсеткіштің анықтамасынан оның мәнінің жоғарылауы осы қызметті көрсету жағдайының жақсарғанын немесе керісінше нашарлағанын көрсететіні анық болуы керек;</w:t>
      </w:r>
    </w:p>
    <w:p w14:paraId="7E108CBA"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3) салыстырмалылық – ең дұрысы, көрсеткіштер уақыт бойынша салыстырмалылықты қамтамасыз етуі және уәкілетті органдар арасында салыстыруға мүмкіндік беруі керек;</w:t>
      </w:r>
    </w:p>
    <w:p w14:paraId="5BF3C97C"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4) тексерілу мүмкіндігі – көрсеткіштер болатындай тұжырымдалу керек</w:t>
      </w:r>
    </w:p>
    <w:p w14:paraId="32857516"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олардың мәндерін (жиналған және есептелген деректер) тексеруге болады. Авторы</w:t>
      </w:r>
    </w:p>
    <w:p w14:paraId="44E99B11"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мүмкіндіктер, олар есептеулерде және үлгіні құруда қолданылатын статистикалық әдістердің сипаттамасымен қоса берілуі керек;</w:t>
      </w:r>
    </w:p>
    <w:p w14:paraId="50EEBF5B"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5) статистикалық сенімділік – көрсеткіштер негізделуі тиіс</w:t>
      </w:r>
    </w:p>
    <w:p w14:paraId="722FDA46"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сенімді деректерді жинау жүйелері және оларды басқару мақсатында пайдаланатындар деректердің дәлдігі мен сенімділігін тексере алуы керек.</w:t>
      </w:r>
    </w:p>
    <w:p w14:paraId="30D5B5ED"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қолданылатын есептеу әдістері;</w:t>
      </w:r>
    </w:p>
    <w:p w14:paraId="11B120BD"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6) экономикалық орындылық – деректерді жинауға кететін шығындар мен осы деректердің пайдалылығы арасындағы ақылға қонымды теңгерімді сақтау өте маңызды. Қайда</w:t>
      </w:r>
    </w:p>
    <w:p w14:paraId="5341ABC1"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бұл мүмкін, көрсеткіштер бар деректерге негізделуі керек</w:t>
      </w:r>
    </w:p>
    <w:p w14:paraId="1966F4B1"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және бар деректерді жинау әрекеттерімен байланысты болуы керек;</w:t>
      </w:r>
    </w:p>
    <w:p w14:paraId="1DC5DB28"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7) сезімталдық – көрсеткіштер өзгерістерге тез жауап беруі керек.</w:t>
      </w:r>
    </w:p>
    <w:p w14:paraId="4A75517E"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Өзгеріс диапазоны тым аз көрсеткіште ғана болуы мүмкін</w:t>
      </w:r>
    </w:p>
    <w:p w14:paraId="11C41EF3"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өте шектеулі пайдалану;</w:t>
      </w:r>
    </w:p>
    <w:p w14:paraId="2BE41164"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8) көрсеткіштерді әзірлеу кезінде ішкі «антиынтылықтардың» болмауы</w:t>
      </w:r>
    </w:p>
    <w:p w14:paraId="677BFD3F"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қандай мінез-құлыққа ынталандыратынын ескеру қажет. Қызметкерлердің теріс мінез-құлқының қалыптасуына әкелетін осындай көрсеткіштерден аулақ болу керек;</w:t>
      </w:r>
    </w:p>
    <w:p w14:paraId="1AAF4483"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9) инновацияларға қатысты икемділік – бір рет анықталған көрсеткіштер жүйесі</w:t>
      </w:r>
    </w:p>
    <w:p w14:paraId="50E41B46"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қызметтердің сапасы мен санын жақсарту үшін инновацияны немесе балама әдістерді, жүйелерді немесе процестерді енгізуге кедергі жасамауы керек;</w:t>
      </w:r>
    </w:p>
    <w:p w14:paraId="59F7236C"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10) жаңарту жылдамдығы – индикатор осы көрсеткіш негізінде қабылданған шешімдерді ескере отырып, әбден негізді уақыт ішінде алуға болатын деректерге негізделуі тиіс, әйтпесе оның негізінде шешімдер қабылдану қаупі бар. ескірген немесе сәйкес емес деректер.</w:t>
      </w:r>
    </w:p>
    <w:p w14:paraId="7916BBA6" w14:textId="77777777" w:rsidR="004B663A" w:rsidRPr="004B663A" w:rsidRDefault="004B663A" w:rsidP="004B663A">
      <w:pPr>
        <w:spacing w:after="0" w:line="240"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lastRenderedPageBreak/>
        <w:t>Нәтижеге негізделген басқару жүйесін енгізу кезінде тәуекелдерді және</w:t>
      </w:r>
    </w:p>
    <w:p w14:paraId="7829D234" w14:textId="77777777" w:rsidR="004B663A" w:rsidRPr="004B663A" w:rsidRDefault="004B663A" w:rsidP="004B663A">
      <w:pPr>
        <w:spacing w:after="0" w:line="240"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шектеулер, анықтау бойынша күрделі алдын ала бағалауды талап етеді</w:t>
      </w:r>
    </w:p>
    <w:p w14:paraId="7771FB51" w14:textId="77777777" w:rsidR="004B663A" w:rsidRPr="004B663A" w:rsidRDefault="004B663A" w:rsidP="004B663A">
      <w:pPr>
        <w:spacing w:after="0" w:line="240"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тиімділік көрсеткіштері, белгіленгеннен бері сенімсіз, біржақты</w:t>
      </w:r>
    </w:p>
    <w:p w14:paraId="6AC337F4" w14:textId="77777777" w:rsidR="004B663A" w:rsidRPr="004B663A" w:rsidRDefault="004B663A" w:rsidP="004B663A">
      <w:pPr>
        <w:spacing w:after="0" w:line="240"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және теңгерімсіз көрсеткіштер жүйесі одан да көп нәтижеге әкелуі мүмкін</w:t>
      </w:r>
    </w:p>
    <w:p w14:paraId="5E466A46" w14:textId="77777777" w:rsidR="004B663A" w:rsidRPr="004B663A" w:rsidRDefault="004B663A" w:rsidP="004B663A">
      <w:pPr>
        <w:spacing w:after="0" w:line="240"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бағалау жүйесінің мүлде болмауынан гөрі ауыр зардаптар. Қолдану</w:t>
      </w:r>
    </w:p>
    <w:p w14:paraId="4E67E914" w14:textId="77777777" w:rsidR="004B663A" w:rsidRPr="004B663A" w:rsidRDefault="004B663A" w:rsidP="004B663A">
      <w:pPr>
        <w:spacing w:after="0" w:line="240"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Тиімділікті өлшеу жүйелері мөлдірлікті арттырады. Ашықтықтың өзі</w:t>
      </w:r>
    </w:p>
    <w:p w14:paraId="03658274" w14:textId="77777777" w:rsidR="004B663A" w:rsidRPr="004B663A" w:rsidRDefault="004B663A" w:rsidP="004B663A">
      <w:pPr>
        <w:spacing w:after="0" w:line="240"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өзі өте құнды қасиет.</w:t>
      </w:r>
    </w:p>
    <w:p w14:paraId="684A5BFA"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Көбінесе оның болмауына және мемлекеттік органдар қызметінің жабық болуына байланысты бюрократия дамиды, өнімсіз процестерге, әдістемелік ұсыныстарға, құрылымдауға назар аударылады. Нәтижесінде, билік органдарының кейбір қызмет түрлерінің негізгі процеске қандай қатысы бар және оның өмір сүруінің мақсаты қандай екені толық түсініксіз.</w:t>
      </w:r>
    </w:p>
    <w:p w14:paraId="07B77CBC"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Бұл жағдайда тиімділік пен тиімділік көрсеткіштерін анықтау және мақсатты көрсеткіштерге қол жеткізу ашықтықтың артуына алып келеді және инновациялар үшін қосымша ынталандыру болуы мүмкін. Тиімділікті бағалау рәсімдерін енгізу органдардағы ішкі саясат пен шешім қабылдау жүйелерінің сапасын айтарлықтай жақсартуға мүмкіндік береді.</w:t>
      </w:r>
    </w:p>
    <w:p w14:paraId="2538F5E4"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билік.</w:t>
      </w:r>
    </w:p>
    <w:p w14:paraId="153DEB25"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Тест сұрақтары мен тапсырмалар</w:t>
      </w:r>
    </w:p>
    <w:p w14:paraId="0372B094"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Бақылау сұрақтары:</w:t>
      </w:r>
    </w:p>
    <w:p w14:paraId="61ECD1D7"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1. Басқару сапасы мен тиімділігі ұғымдарына анықтама беріңіз</w:t>
      </w:r>
    </w:p>
    <w:p w14:paraId="553B0829"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үкімет шешімдері.</w:t>
      </w:r>
    </w:p>
    <w:p w14:paraId="54B4EBAE"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2. Басқару шешімдерінің тиімділігін бағалау әдістерін сипаттаңыз.</w:t>
      </w:r>
    </w:p>
    <w:p w14:paraId="3BC2436F"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3. Мемлекеттік басқарудың сапасы мен тиімділігін бағалаудың ерекшеліктері қандай</w:t>
      </w:r>
    </w:p>
    <w:p w14:paraId="26A1CF45"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шешімдер?</w:t>
      </w:r>
    </w:p>
    <w:p w14:paraId="28994AA8"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4. Сандық және сапалық сараптамалық бағалауларды сипаттаңыз.</w:t>
      </w:r>
    </w:p>
    <w:p w14:paraId="1BD1D88A"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Тест тапсырмалары:</w:t>
      </w:r>
    </w:p>
    <w:p w14:paraId="5C6CE0E0"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1. Шешімнің тиімділігін арттыру әдістерін көрсетіңіз.</w:t>
      </w:r>
    </w:p>
    <w:p w14:paraId="57FBDACC"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а) Жоспарлау әдісін таңдау</w:t>
      </w:r>
    </w:p>
    <w:p w14:paraId="7405B3C0"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ә) Шешім жасаушылардың құрамын оңтайландыру</w:t>
      </w:r>
    </w:p>
    <w:p w14:paraId="19CDBF51"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 Шешімді жүзеге асыруда желілік жоспарлауды қолдану</w:t>
      </w:r>
    </w:p>
    <w:p w14:paraId="053155EE"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в) Жағдаяттарды талдау сапасын арттыру</w:t>
      </w:r>
    </w:p>
    <w:p w14:paraId="50BA3439" w14:textId="77777777" w:rsidR="004B663A" w:rsidRPr="004B663A" w:rsidRDefault="004B663A" w:rsidP="004B663A">
      <w:pPr>
        <w:spacing w:line="256" w:lineRule="auto"/>
        <w:rPr>
          <w:rFonts w:ascii="Times New Roman" w:hAnsi="Times New Roman" w:cs="Times New Roman"/>
          <w:sz w:val="24"/>
          <w:szCs w:val="24"/>
          <w:lang w:val="kk-KZ"/>
        </w:rPr>
      </w:pPr>
    </w:p>
    <w:p w14:paraId="1272415B"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2. Шешімнің тиімділігінің басымдылық критерийін көрсетіңіз.</w:t>
      </w:r>
    </w:p>
    <w:p w14:paraId="444200F2"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а) Іске асыру мерзімдері</w:t>
      </w:r>
    </w:p>
    <w:p w14:paraId="332B294B"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ә) Даму уақыты</w:t>
      </w:r>
    </w:p>
    <w:p w14:paraId="19DBF2DF"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 Мақсатқа жету дәрежесі</w:t>
      </w:r>
    </w:p>
    <w:p w14:paraId="26011993"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в) Ресурстардың қарқындылығы</w:t>
      </w:r>
    </w:p>
    <w:p w14:paraId="133ED799"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lastRenderedPageBreak/>
        <w:t>3. Шешімнің тиімділік критерийін көрсетіңіз.</w:t>
      </w:r>
    </w:p>
    <w:p w14:paraId="6CE1CF16"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а) Шешімдерге жауапкершілік тетіктері</w:t>
      </w:r>
    </w:p>
    <w:p w14:paraId="2DD27C46"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ә) Шешімді орындауға мотивация</w:t>
      </w:r>
    </w:p>
    <w:p w14:paraId="7EF657E0"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б) Шешімді орындау мерзімі</w:t>
      </w:r>
    </w:p>
    <w:p w14:paraId="4B963365" w14:textId="77777777" w:rsidR="004B663A" w:rsidRPr="004B663A" w:rsidRDefault="004B663A" w:rsidP="004B663A">
      <w:pPr>
        <w:spacing w:line="256" w:lineRule="auto"/>
        <w:rPr>
          <w:rFonts w:ascii="Times New Roman" w:hAnsi="Times New Roman" w:cs="Times New Roman"/>
          <w:sz w:val="24"/>
          <w:szCs w:val="24"/>
          <w:lang w:val="kk-KZ"/>
        </w:rPr>
      </w:pPr>
      <w:r w:rsidRPr="004B663A">
        <w:rPr>
          <w:rFonts w:ascii="Times New Roman" w:hAnsi="Times New Roman" w:cs="Times New Roman"/>
          <w:sz w:val="24"/>
          <w:szCs w:val="24"/>
          <w:lang w:val="kk-KZ"/>
        </w:rPr>
        <w:t>в) Шешімнің мақсаттарының сипаты</w:t>
      </w:r>
    </w:p>
    <w:bookmarkEnd w:id="1"/>
    <w:p w14:paraId="537BEA24" w14:textId="77777777" w:rsidR="001632AF" w:rsidRDefault="001632AF">
      <w:pPr>
        <w:rPr>
          <w:lang w:val="kk-KZ"/>
        </w:rPr>
      </w:pPr>
    </w:p>
    <w:p w14:paraId="066FC1FC" w14:textId="77777777" w:rsidR="00593FA4" w:rsidRDefault="00593FA4">
      <w:pPr>
        <w:rPr>
          <w:lang w:val="kk-KZ"/>
        </w:rPr>
      </w:pPr>
    </w:p>
    <w:p w14:paraId="3E5FA66E" w14:textId="77777777" w:rsidR="00593FA4" w:rsidRDefault="00593FA4" w:rsidP="00593FA4">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7680A4EC" w14:textId="77777777" w:rsidR="00593FA4" w:rsidRDefault="00593FA4" w:rsidP="00593FA4">
      <w:pPr>
        <w:spacing w:line="252" w:lineRule="auto"/>
        <w:contextualSpacing/>
        <w:rPr>
          <w:rFonts w:ascii="Times New Roman" w:hAnsi="Times New Roman" w:cs="Times New Roman"/>
          <w:sz w:val="20"/>
          <w:szCs w:val="20"/>
          <w:lang w:val="kk-KZ"/>
        </w:rPr>
      </w:pPr>
    </w:p>
    <w:p w14:paraId="4043DF34" w14:textId="77777777" w:rsidR="00593FA4" w:rsidRDefault="00593FA4" w:rsidP="00593FA4">
      <w:pPr>
        <w:spacing w:line="240" w:lineRule="auto"/>
        <w:contextualSpacing/>
        <w:rPr>
          <w:rFonts w:ascii="Times New Roman" w:hAnsi="Times New Roman" w:cs="Times New Roman"/>
          <w:sz w:val="20"/>
          <w:szCs w:val="20"/>
          <w:lang w:val="kk-KZ"/>
        </w:rPr>
      </w:pPr>
      <w:bookmarkStart w:id="2" w:name="_Hlk215925741"/>
      <w:r>
        <w:rPr>
          <w:rFonts w:ascii="Times New Roman" w:hAnsi="Times New Roman" w:cs="Times New Roman"/>
          <w:sz w:val="20"/>
          <w:szCs w:val="20"/>
          <w:lang w:val="kk-KZ"/>
        </w:rPr>
        <w:t>1</w:t>
      </w:r>
      <w:bookmarkStart w:id="3"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6D6B645" w14:textId="77777777" w:rsidR="00593FA4" w:rsidRDefault="00593FA4" w:rsidP="00593FA4">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761B2983" w14:textId="77777777" w:rsidR="00593FA4" w:rsidRDefault="00593FA4" w:rsidP="00593FA4">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0B148C7E" w14:textId="77777777" w:rsidR="00593FA4" w:rsidRDefault="00593FA4" w:rsidP="00593FA4">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2"/>
    <w:bookmarkEnd w:id="3"/>
    <w:p w14:paraId="2E5E61AA" w14:textId="77777777" w:rsidR="00593FA4" w:rsidRDefault="00593FA4" w:rsidP="00593FA4">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75D590D2" w14:textId="77777777" w:rsidR="00593FA4" w:rsidRDefault="00593FA4" w:rsidP="00593FA4">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1D21AEDE" w14:textId="77777777" w:rsidR="00593FA4" w:rsidRDefault="00593FA4" w:rsidP="00593FA4">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303E47C0" w14:textId="77777777" w:rsidR="00593FA4" w:rsidRDefault="00593FA4" w:rsidP="00593FA4">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60536711" w14:textId="77777777" w:rsidR="00593FA4" w:rsidRDefault="00593FA4" w:rsidP="00593FA4">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7AA5DA9A" w14:textId="77777777" w:rsidR="00593FA4" w:rsidRDefault="00593FA4" w:rsidP="00593FA4">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47C04792" w14:textId="77777777" w:rsidR="00593FA4" w:rsidRDefault="00593FA4" w:rsidP="00593FA4">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36868F2C" w14:textId="77777777" w:rsidR="00593FA4" w:rsidRDefault="00593FA4" w:rsidP="00593FA4">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632F4A5F" w14:textId="77777777" w:rsidR="00593FA4" w:rsidRDefault="00593FA4" w:rsidP="00593FA4">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84511FA" w14:textId="77777777" w:rsidR="00593FA4" w:rsidRDefault="00593FA4" w:rsidP="00593FA4">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7CCF7A22" w14:textId="77777777" w:rsidR="00593FA4" w:rsidRDefault="00593FA4" w:rsidP="00593FA4">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3E8D7425" w14:textId="77777777" w:rsidR="00593FA4" w:rsidRDefault="00593FA4" w:rsidP="00593FA4">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4"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4"/>
    </w:p>
    <w:p w14:paraId="53AD8AC7" w14:textId="77777777" w:rsidR="00593FA4" w:rsidRDefault="00593FA4" w:rsidP="00593FA4">
      <w:pPr>
        <w:jc w:val="center"/>
        <w:rPr>
          <w:rFonts w:ascii="Times New Roman" w:hAnsi="Times New Roman" w:cs="Times New Roman"/>
          <w:b/>
          <w:bCs/>
          <w:sz w:val="24"/>
          <w:szCs w:val="24"/>
          <w:lang w:val="kk-KZ"/>
        </w:rPr>
      </w:pPr>
      <w:bookmarkStart w:id="5" w:name="_Hlk215925847"/>
      <w:r>
        <w:rPr>
          <w:rFonts w:ascii="Times New Roman" w:hAnsi="Times New Roman" w:cs="Times New Roman"/>
          <w:b/>
          <w:bCs/>
          <w:sz w:val="24"/>
          <w:szCs w:val="24"/>
          <w:lang w:val="kk-KZ"/>
        </w:rPr>
        <w:t>Қосымша әдебиеттер:</w:t>
      </w:r>
    </w:p>
    <w:p w14:paraId="43B1DE3E" w14:textId="77777777" w:rsidR="00593FA4" w:rsidRDefault="00593FA4" w:rsidP="00593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19A7C439" w14:textId="77777777" w:rsidR="00593FA4" w:rsidRDefault="00593FA4" w:rsidP="00593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541F6E10" w14:textId="77777777" w:rsidR="00593FA4" w:rsidRDefault="00593FA4" w:rsidP="00593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54CE2DDC" w14:textId="77777777" w:rsidR="00593FA4" w:rsidRDefault="00593FA4" w:rsidP="00593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4C226CB" w14:textId="77777777" w:rsidR="00593FA4" w:rsidRDefault="00593FA4" w:rsidP="00593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2756F35E" w14:textId="77777777" w:rsidR="00593FA4" w:rsidRDefault="00593FA4" w:rsidP="00593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4DC32AC6" w14:textId="77777777" w:rsidR="00593FA4" w:rsidRDefault="00593FA4" w:rsidP="00593FA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534CCEA9" w14:textId="77777777" w:rsidR="00593FA4" w:rsidRDefault="00593FA4" w:rsidP="00593FA4">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44A11657" w14:textId="77777777" w:rsidR="00593FA4" w:rsidRDefault="00593FA4" w:rsidP="00593FA4">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72E2E57D" w14:textId="77777777" w:rsidR="00593FA4" w:rsidRDefault="00593FA4" w:rsidP="00593FA4">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lastRenderedPageBreak/>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058ADD1B" w14:textId="77777777" w:rsidR="00593FA4" w:rsidRDefault="00593FA4" w:rsidP="00593FA4">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3B510F7A" w14:textId="77777777" w:rsidR="00593FA4" w:rsidRDefault="00593FA4" w:rsidP="00593FA4">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2FCB9DC7" w14:textId="77777777" w:rsidR="00593FA4" w:rsidRDefault="00593FA4" w:rsidP="00593FA4">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3170A8B2" w14:textId="77777777" w:rsidR="00593FA4" w:rsidRDefault="00593FA4" w:rsidP="00593FA4">
      <w:pPr>
        <w:spacing w:after="0"/>
        <w:rPr>
          <w:rFonts w:ascii="Times New Roman" w:hAnsi="Times New Roman" w:cs="Times New Roman"/>
          <w:sz w:val="20"/>
          <w:szCs w:val="20"/>
          <w:lang w:val="kk-KZ"/>
        </w:rPr>
      </w:pPr>
    </w:p>
    <w:p w14:paraId="4A04807E" w14:textId="77777777" w:rsidR="00593FA4" w:rsidRDefault="00593FA4" w:rsidP="00593FA4">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29C234B9" w14:textId="77777777" w:rsidR="00593FA4" w:rsidRDefault="00593FA4" w:rsidP="00593FA4">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1A6D539C" w14:textId="77777777" w:rsidR="00593FA4" w:rsidRDefault="00593FA4" w:rsidP="00593FA4">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5"/>
    </w:p>
    <w:p w14:paraId="6F2D3633" w14:textId="77777777" w:rsidR="00593FA4" w:rsidRDefault="00593FA4" w:rsidP="00593FA4">
      <w:pPr>
        <w:rPr>
          <w:lang w:val="kk-KZ"/>
        </w:rPr>
      </w:pPr>
    </w:p>
    <w:p w14:paraId="08AD1754" w14:textId="77777777" w:rsidR="00593FA4" w:rsidRPr="00593FA4" w:rsidRDefault="00593FA4">
      <w:pPr>
        <w:rPr>
          <w:lang w:val="kk-KZ"/>
        </w:rPr>
      </w:pPr>
    </w:p>
    <w:sectPr w:rsidR="00593FA4" w:rsidRPr="00593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28048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906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2697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EE"/>
    <w:rsid w:val="001632AF"/>
    <w:rsid w:val="00310446"/>
    <w:rsid w:val="003E6D87"/>
    <w:rsid w:val="004B663A"/>
    <w:rsid w:val="00593FA4"/>
    <w:rsid w:val="00D144EE"/>
    <w:rsid w:val="00E13657"/>
    <w:rsid w:val="00F32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0546"/>
  <w15:chartTrackingRefBased/>
  <w15:docId w15:val="{96485441-895F-4A4C-8C6A-FEAB4DF3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FA4"/>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593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2025-12-06T13:26:00Z</dcterms:created>
  <dcterms:modified xsi:type="dcterms:W3CDTF">2026-01-02T13:10:00Z</dcterms:modified>
</cp:coreProperties>
</file>